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w:t>
            </w:r>
            <w:proofErr w:type="gramStart"/>
            <w:r w:rsidRPr="005B61D9">
              <w:rPr>
                <w:rFonts w:eastAsia="Times New Roman" w:cs="Times New Roman"/>
                <w:bCs/>
                <w:kern w:val="0"/>
                <w:sz w:val="18"/>
                <w:szCs w:val="18"/>
                <w:lang w:eastAsia="ru-RU" w:bidi="ar-SA"/>
              </w:rPr>
              <w:t xml:space="preserve">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proofErr w:type="gramEnd"/>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B64501" w:rsidP="00DD5404">
      <w:pPr>
        <w:suppressAutoHyphens w:val="0"/>
        <w:autoSpaceDE w:val="0"/>
        <w:ind w:firstLine="5529"/>
        <w:jc w:val="center"/>
        <w:rPr>
          <w:sz w:val="28"/>
          <w:szCs w:val="28"/>
        </w:rPr>
      </w:pPr>
      <w:r>
        <w:rPr>
          <w:sz w:val="28"/>
          <w:szCs w:val="28"/>
        </w:rPr>
        <w:t>Заместитель начальника</w:t>
      </w:r>
      <w:r w:rsidR="00DD5404" w:rsidRPr="00A83F25">
        <w:rPr>
          <w:sz w:val="28"/>
          <w:szCs w:val="28"/>
        </w:rPr>
        <w:t xml:space="preserve">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B64501">
        <w:rPr>
          <w:rFonts w:eastAsia="Times New Roman" w:cs="Times New Roman"/>
          <w:kern w:val="0"/>
          <w:sz w:val="28"/>
          <w:szCs w:val="28"/>
          <w:lang w:eastAsia="ru-RU" w:bidi="ar-SA"/>
        </w:rPr>
        <w:t xml:space="preserve">      «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Default="00B64501" w:rsidP="00F64C4B">
      <w:pPr>
        <w:autoSpaceDE w:val="0"/>
        <w:ind w:right="1197" w:firstLine="709"/>
        <w:jc w:val="center"/>
        <w:rPr>
          <w:rFonts w:cs="Times New Roman"/>
          <w:b/>
          <w:bCs/>
          <w:sz w:val="26"/>
          <w:szCs w:val="26"/>
        </w:rPr>
      </w:pPr>
      <w:r>
        <w:rPr>
          <w:rFonts w:cs="Times New Roman"/>
          <w:b/>
          <w:bCs/>
          <w:sz w:val="26"/>
          <w:szCs w:val="26"/>
        </w:rPr>
        <w:t xml:space="preserve">на оказание услуг по </w:t>
      </w:r>
      <w:r w:rsidR="00676877">
        <w:rPr>
          <w:rFonts w:cs="Times New Roman"/>
          <w:b/>
          <w:bCs/>
          <w:sz w:val="26"/>
          <w:szCs w:val="26"/>
        </w:rPr>
        <w:t>предоставлению аэродинамической трубы</w:t>
      </w: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B64501">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42611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676877">
        <w:rPr>
          <w:rFonts w:eastAsia="Calibri"/>
          <w:b/>
          <w:kern w:val="0"/>
          <w:sz w:val="26"/>
          <w:szCs w:val="26"/>
          <w:lang w:bidi="ar-SA"/>
        </w:rPr>
        <w:t xml:space="preserve"> </w:t>
      </w:r>
      <w:r w:rsidR="00676877" w:rsidRPr="00426115">
        <w:rPr>
          <w:rFonts w:eastAsia="Calibri"/>
          <w:kern w:val="0"/>
          <w:sz w:val="26"/>
          <w:szCs w:val="26"/>
          <w:lang w:bidi="ar-SA"/>
        </w:rPr>
        <w:t xml:space="preserve">Московская область, </w:t>
      </w:r>
      <w:r w:rsidR="001B564C">
        <w:rPr>
          <w:rFonts w:eastAsia="Calibri"/>
          <w:kern w:val="0"/>
          <w:sz w:val="26"/>
          <w:szCs w:val="26"/>
          <w:lang w:bidi="ar-SA"/>
        </w:rPr>
        <w:t xml:space="preserve">Чеховский район, п. </w:t>
      </w:r>
      <w:proofErr w:type="spellStart"/>
      <w:r w:rsidR="001B564C">
        <w:rPr>
          <w:rFonts w:eastAsia="Calibri"/>
          <w:kern w:val="0"/>
          <w:sz w:val="26"/>
          <w:szCs w:val="26"/>
          <w:lang w:bidi="ar-SA"/>
        </w:rPr>
        <w:t>Любучаны</w:t>
      </w:r>
      <w:proofErr w:type="spellEnd"/>
      <w:r w:rsidR="00676877" w:rsidRPr="00426115">
        <w:rPr>
          <w:rFonts w:eastAsia="Calibri"/>
          <w:kern w:val="0"/>
          <w:sz w:val="26"/>
          <w:szCs w:val="26"/>
          <w:lang w:bidi="ar-SA"/>
        </w:rPr>
        <w:t>, 61-км Симфе</w:t>
      </w:r>
      <w:r w:rsidR="00426115" w:rsidRPr="00426115">
        <w:rPr>
          <w:rFonts w:eastAsia="Calibri"/>
          <w:kern w:val="0"/>
          <w:sz w:val="26"/>
          <w:szCs w:val="26"/>
          <w:lang w:bidi="ar-SA"/>
        </w:rPr>
        <w:t>ропольского шоссе, правая сторона</w:t>
      </w:r>
      <w:r w:rsidR="0001300C" w:rsidRPr="00426115">
        <w:t>.</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426115">
        <w:rPr>
          <w:color w:val="000000"/>
        </w:rPr>
        <w:t>1 800 000</w:t>
      </w:r>
      <w:proofErr w:type="gramStart"/>
      <w:r w:rsidR="00426115">
        <w:rPr>
          <w:color w:val="000000"/>
        </w:rPr>
        <w:t>,00</w:t>
      </w:r>
      <w:proofErr w:type="gramEnd"/>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w:t>
      </w:r>
      <w:r w:rsidRPr="00182303">
        <w:rPr>
          <w:sz w:val="26"/>
          <w:szCs w:val="26"/>
        </w:rPr>
        <w:lastRenderedPageBreak/>
        <w:t>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B564C" w:rsidRPr="00152CD0"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к</w:t>
      </w:r>
      <w:r w:rsidRPr="00152CD0">
        <w:rPr>
          <w:rFonts w:eastAsia="Calibri"/>
          <w:kern w:val="0"/>
          <w:sz w:val="26"/>
          <w:szCs w:val="26"/>
          <w:lang w:bidi="ar-SA"/>
        </w:rPr>
        <w:t>опию листа записи из ЕГРЮЛ</w:t>
      </w:r>
    </w:p>
    <w:p w:rsidR="001B564C" w:rsidRPr="003964E9"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1B564C" w:rsidRPr="003964E9"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1B564C" w:rsidRPr="003964E9"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1B564C" w:rsidRPr="003964E9"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1B564C" w:rsidRPr="003964E9"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копию документа, удостоверяющих </w:t>
      </w:r>
      <w:r>
        <w:rPr>
          <w:sz w:val="26"/>
          <w:szCs w:val="26"/>
        </w:rPr>
        <w:t>личность (для физического лица)</w:t>
      </w:r>
      <w:r w:rsidRPr="003964E9">
        <w:rPr>
          <w:sz w:val="26"/>
          <w:szCs w:val="26"/>
        </w:rPr>
        <w:t>;</w:t>
      </w:r>
    </w:p>
    <w:p w:rsidR="001B564C" w:rsidRPr="003964E9" w:rsidRDefault="001B564C" w:rsidP="001B564C">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1B564C" w:rsidRPr="001B564C" w:rsidRDefault="001B564C" w:rsidP="001B564C">
      <w:pPr>
        <w:widowControl/>
        <w:tabs>
          <w:tab w:val="left" w:pos="1128"/>
          <w:tab w:val="left" w:pos="1560"/>
          <w:tab w:val="left" w:pos="1701"/>
        </w:tabs>
        <w:suppressAutoHyphens w:val="0"/>
        <w:autoSpaceDE w:val="0"/>
        <w:autoSpaceDN w:val="0"/>
        <w:adjustRightInd w:val="0"/>
        <w:jc w:val="both"/>
        <w:rPr>
          <w:rFonts w:eastAsia="Calibri"/>
          <w:b/>
          <w:kern w:val="0"/>
          <w:sz w:val="26"/>
          <w:szCs w:val="26"/>
          <w:lang w:bidi="ar-SA"/>
        </w:rPr>
      </w:pPr>
      <w:r w:rsidRPr="001B564C">
        <w:rPr>
          <w:rFonts w:eastAsia="Calibri"/>
          <w:kern w:val="0"/>
          <w:sz w:val="26"/>
          <w:szCs w:val="26"/>
          <w:lang w:bidi="ar-SA"/>
        </w:rPr>
        <w:br/>
      </w:r>
    </w:p>
    <w:p w:rsidR="001B564C" w:rsidRPr="00EC6C1C" w:rsidRDefault="001B564C" w:rsidP="001B564C">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подпунктах 9.2.2-9.2.8, </w:t>
      </w:r>
      <w:r w:rsidRPr="00EC6C1C">
        <w:rPr>
          <w:rFonts w:eastAsia="Calibri"/>
          <w:kern w:val="0"/>
          <w:sz w:val="26"/>
          <w:szCs w:val="26"/>
          <w:lang w:bidi="ar-SA"/>
        </w:rPr>
        <w:t xml:space="preserve">должна быть подтверждена </w:t>
      </w:r>
      <w:proofErr w:type="spellStart"/>
      <w:r w:rsidRPr="00EC6C1C">
        <w:rPr>
          <w:rFonts w:eastAsia="Calibri"/>
          <w:kern w:val="0"/>
          <w:sz w:val="26"/>
          <w:szCs w:val="26"/>
          <w:lang w:bidi="ar-SA"/>
        </w:rPr>
        <w:t>заверительной</w:t>
      </w:r>
      <w:proofErr w:type="spellEnd"/>
      <w:r w:rsidRPr="00EC6C1C">
        <w:rPr>
          <w:rFonts w:eastAsia="Calibri"/>
          <w:kern w:val="0"/>
          <w:sz w:val="26"/>
          <w:szCs w:val="26"/>
          <w:lang w:bidi="ar-SA"/>
        </w:rPr>
        <w:t xml:space="preserve">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1B564C">
        <w:rPr>
          <w:sz w:val="26"/>
          <w:szCs w:val="26"/>
        </w:rPr>
        <w:t>0</w:t>
      </w:r>
      <w:r w:rsidR="00DF3F64">
        <w:rPr>
          <w:sz w:val="26"/>
          <w:szCs w:val="26"/>
        </w:rPr>
        <w:t>6</w:t>
      </w:r>
      <w:bookmarkStart w:id="0" w:name="_GoBack"/>
      <w:bookmarkEnd w:id="0"/>
      <w:r w:rsidRPr="001B564C">
        <w:rPr>
          <w:sz w:val="26"/>
          <w:szCs w:val="26"/>
        </w:rPr>
        <w:t xml:space="preserve">» </w:t>
      </w:r>
      <w:r w:rsidR="001B564C" w:rsidRPr="001B564C">
        <w:rPr>
          <w:sz w:val="26"/>
          <w:szCs w:val="26"/>
        </w:rPr>
        <w:t>феврал</w:t>
      </w:r>
      <w:r w:rsidR="00B64501" w:rsidRPr="001B564C">
        <w:rPr>
          <w:sz w:val="26"/>
          <w:szCs w:val="26"/>
        </w:rPr>
        <w:t>я</w:t>
      </w:r>
      <w:r w:rsidRPr="001B564C">
        <w:rPr>
          <w:sz w:val="26"/>
          <w:szCs w:val="26"/>
        </w:rPr>
        <w:t xml:space="preserve"> </w:t>
      </w:r>
      <w:r w:rsidR="00B64501" w:rsidRPr="001B564C">
        <w:rPr>
          <w:sz w:val="26"/>
          <w:szCs w:val="26"/>
        </w:rPr>
        <w:t>2018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lastRenderedPageBreak/>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DF3F64" w:rsidRPr="00DF3F64">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64F35"/>
    <w:rsid w:val="00152CD0"/>
    <w:rsid w:val="001B4190"/>
    <w:rsid w:val="001B564C"/>
    <w:rsid w:val="0037106B"/>
    <w:rsid w:val="00406A46"/>
    <w:rsid w:val="00411CF2"/>
    <w:rsid w:val="00426115"/>
    <w:rsid w:val="005142FE"/>
    <w:rsid w:val="005446F8"/>
    <w:rsid w:val="00551B93"/>
    <w:rsid w:val="00552AA4"/>
    <w:rsid w:val="00580BD3"/>
    <w:rsid w:val="0059500A"/>
    <w:rsid w:val="005C0DEB"/>
    <w:rsid w:val="005D3735"/>
    <w:rsid w:val="005D7C8F"/>
    <w:rsid w:val="00657D9A"/>
    <w:rsid w:val="00676877"/>
    <w:rsid w:val="006F61B9"/>
    <w:rsid w:val="007031B7"/>
    <w:rsid w:val="00926570"/>
    <w:rsid w:val="00AA31FB"/>
    <w:rsid w:val="00B64501"/>
    <w:rsid w:val="00C72205"/>
    <w:rsid w:val="00C8107B"/>
    <w:rsid w:val="00DD5404"/>
    <w:rsid w:val="00DF3F64"/>
    <w:rsid w:val="00F450A5"/>
    <w:rsid w:val="00F6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4</cp:revision>
  <cp:lastPrinted>2017-10-18T09:58:00Z</cp:lastPrinted>
  <dcterms:created xsi:type="dcterms:W3CDTF">2018-02-01T14:30:00Z</dcterms:created>
  <dcterms:modified xsi:type="dcterms:W3CDTF">2018-02-06T06:51:00Z</dcterms:modified>
</cp:coreProperties>
</file>