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r w:rsidRPr="00B15D46">
              <w:rPr>
                <w:rFonts w:ascii="Times New Roman" w:hAnsi="Times New Roman"/>
                <w:sz w:val="24"/>
                <w:szCs w:val="24"/>
              </w:rPr>
              <w:t xml:space="preserve">Ларченков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503C3C" w:rsidRDefault="00B15D46" w:rsidP="00503C3C">
      <w:pPr>
        <w:pStyle w:val="a4"/>
        <w:tabs>
          <w:tab w:val="left" w:pos="993"/>
          <w:tab w:val="left" w:pos="1134"/>
        </w:tabs>
        <w:spacing w:line="276" w:lineRule="auto"/>
        <w:ind w:left="426"/>
        <w:jc w:val="center"/>
        <w:rPr>
          <w:b/>
        </w:rPr>
      </w:pPr>
      <w:r w:rsidRPr="00B15D46">
        <w:rPr>
          <w:rFonts w:eastAsia="Lucida Sans Unicode"/>
          <w:b/>
        </w:rPr>
        <w:t>на выполнение работ</w:t>
      </w:r>
      <w:r w:rsidRPr="00B15D46">
        <w:rPr>
          <w:b/>
          <w:sz w:val="26"/>
          <w:szCs w:val="26"/>
        </w:rPr>
        <w:t xml:space="preserve"> </w:t>
      </w:r>
      <w:r w:rsidRPr="00B15D46">
        <w:rPr>
          <w:b/>
        </w:rPr>
        <w:t xml:space="preserve">по </w:t>
      </w:r>
      <w:r w:rsidR="00503C3C" w:rsidRPr="00503C3C">
        <w:rPr>
          <w:b/>
        </w:rPr>
        <w:t xml:space="preserve">наружному оформлению объектов </w:t>
      </w:r>
    </w:p>
    <w:p w:rsidR="000720A2" w:rsidRPr="00C122A1" w:rsidRDefault="00503C3C" w:rsidP="00503C3C">
      <w:pPr>
        <w:pStyle w:val="a4"/>
        <w:tabs>
          <w:tab w:val="left" w:pos="993"/>
          <w:tab w:val="left" w:pos="1134"/>
        </w:tabs>
        <w:spacing w:line="276" w:lineRule="auto"/>
        <w:ind w:left="426"/>
        <w:jc w:val="center"/>
        <w:rPr>
          <w:b/>
          <w:bCs/>
          <w:sz w:val="28"/>
          <w:szCs w:val="28"/>
        </w:rPr>
      </w:pPr>
      <w:r w:rsidRPr="00503C3C">
        <w:rPr>
          <w:b/>
        </w:rPr>
        <w:t>(город Ростов-на-Дону), 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требованиям, указанным в п.п.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Pr="00970C38">
        <w:rPr>
          <w:b/>
          <w:bCs/>
          <w:szCs w:val="24"/>
        </w:rPr>
        <w:t>1 </w:t>
      </w:r>
      <w:r w:rsidR="00503C3C">
        <w:rPr>
          <w:b/>
          <w:bCs/>
          <w:szCs w:val="24"/>
        </w:rPr>
        <w:t>170</w:t>
      </w:r>
      <w:r w:rsidRPr="00970C38">
        <w:rPr>
          <w:b/>
          <w:bCs/>
          <w:szCs w:val="24"/>
        </w:rPr>
        <w:t> </w:t>
      </w:r>
      <w:r w:rsidR="00503C3C">
        <w:rPr>
          <w:b/>
          <w:bCs/>
          <w:szCs w:val="24"/>
        </w:rPr>
        <w:t>000</w:t>
      </w:r>
      <w:r w:rsidRPr="00970C38">
        <w:rPr>
          <w:b/>
          <w:bCs/>
          <w:szCs w:val="24"/>
        </w:rPr>
        <w:t>,</w:t>
      </w:r>
      <w:r w:rsidR="00503C3C">
        <w:rPr>
          <w:b/>
          <w:bCs/>
          <w:szCs w:val="24"/>
        </w:rPr>
        <w:t>00</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4A2BF8">
        <w:t>30 января</w:t>
      </w:r>
      <w:r w:rsidR="00DB52A8">
        <w:t xml:space="preserve"> </w:t>
      </w:r>
      <w:r>
        <w:t>2017</w:t>
      </w:r>
      <w:r w:rsidRPr="00DA3B26">
        <w:t xml:space="preserve"> г. по </w:t>
      </w:r>
      <w:r w:rsidR="004A2BF8">
        <w:t>03 февраля</w:t>
      </w:r>
      <w:r w:rsidR="00B15D46">
        <w:t xml:space="preserve"> </w:t>
      </w:r>
      <w:r w:rsidRPr="00DA3B26">
        <w:t xml:space="preserve"> </w:t>
      </w:r>
      <w:r>
        <w:t>2017</w:t>
      </w:r>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4A2BF8">
        <w:rPr>
          <w:szCs w:val="24"/>
        </w:rPr>
        <w:t xml:space="preserve">«03» февраля </w:t>
      </w:r>
      <w:r w:rsidR="00B15D46">
        <w:t>2017</w:t>
      </w:r>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4A2BF8">
        <w:rPr>
          <w:rFonts w:ascii="Times New Roman" w:hAnsi="Times New Roman"/>
          <w:sz w:val="24"/>
          <w:szCs w:val="24"/>
        </w:rPr>
        <w:t>30января</w:t>
      </w:r>
      <w:r w:rsidR="00B15D46" w:rsidRPr="00B15D46">
        <w:rPr>
          <w:rFonts w:ascii="Times New Roman" w:hAnsi="Times New Roman"/>
          <w:sz w:val="24"/>
          <w:szCs w:val="24"/>
        </w:rPr>
        <w:t xml:space="preserve">  2017</w:t>
      </w:r>
      <w:r w:rsidR="00B15D46">
        <w:t xml:space="preserve"> </w:t>
      </w:r>
      <w:r w:rsidRPr="00DA3B26">
        <w:rPr>
          <w:rFonts w:ascii="Times New Roman" w:hAnsi="Times New Roman"/>
          <w:sz w:val="24"/>
          <w:szCs w:val="24"/>
        </w:rPr>
        <w:t xml:space="preserve">г. по </w:t>
      </w:r>
      <w:r w:rsidR="004A2BF8">
        <w:rPr>
          <w:rFonts w:ascii="Times New Roman" w:hAnsi="Times New Roman"/>
          <w:sz w:val="24"/>
          <w:szCs w:val="24"/>
        </w:rPr>
        <w:t>01 февраля</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4A2BF8">
        <w:rPr>
          <w:szCs w:val="24"/>
        </w:rPr>
        <w:t xml:space="preserve">«03» февраля </w:t>
      </w:r>
      <w:r w:rsidR="00B15D46" w:rsidRPr="00B15D46">
        <w:rPr>
          <w:szCs w:val="24"/>
        </w:rPr>
        <w:t xml:space="preserve">  2017</w:t>
      </w:r>
      <w:r w:rsidR="00B15D46">
        <w:t xml:space="preserve"> </w:t>
      </w:r>
      <w:r w:rsidR="00B15D46" w:rsidRPr="00DA3B26">
        <w:rPr>
          <w:szCs w:val="24"/>
        </w:rPr>
        <w:t>г</w:t>
      </w:r>
      <w:r w:rsidR="00B15D46" w:rsidRPr="00C122A1">
        <w:rPr>
          <w:szCs w:val="24"/>
        </w:rPr>
        <w:t xml:space="preserve"> </w:t>
      </w:r>
      <w:r w:rsidRPr="00C122A1">
        <w:rPr>
          <w:szCs w:val="24"/>
        </w:rPr>
        <w:t xml:space="preserve">. </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bookmarkStart w:id="9" w:name="_GoBack"/>
      <w:bookmarkEnd w:id="9"/>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427BD5"/>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BD5" w:rsidRDefault="00427BD5">
      <w:pPr>
        <w:spacing w:after="0" w:line="240" w:lineRule="auto"/>
      </w:pPr>
      <w:r>
        <w:separator/>
      </w:r>
    </w:p>
  </w:endnote>
  <w:endnote w:type="continuationSeparator" w:id="0">
    <w:p w:rsidR="00427BD5" w:rsidRDefault="0042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4A2BF8" w:rsidRPr="004A2BF8">
          <w:rPr>
            <w:noProof/>
            <w:lang w:val="ru-RU"/>
          </w:rPr>
          <w:t>15</w:t>
        </w:r>
        <w:r>
          <w:fldChar w:fldCharType="end"/>
        </w:r>
      </w:p>
    </w:sdtContent>
  </w:sdt>
  <w:p w:rsidR="0036178D" w:rsidRPr="00074145" w:rsidRDefault="00427BD5"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427BD5"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BD5" w:rsidRDefault="00427BD5">
      <w:pPr>
        <w:spacing w:after="0" w:line="240" w:lineRule="auto"/>
      </w:pPr>
      <w:r>
        <w:separator/>
      </w:r>
    </w:p>
  </w:footnote>
  <w:footnote w:type="continuationSeparator" w:id="0">
    <w:p w:rsidR="00427BD5" w:rsidRDefault="00427B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427BD5"/>
    <w:rsid w:val="004A2BF8"/>
    <w:rsid w:val="00503C3C"/>
    <w:rsid w:val="005446F8"/>
    <w:rsid w:val="00662A22"/>
    <w:rsid w:val="008D4753"/>
    <w:rsid w:val="00970C38"/>
    <w:rsid w:val="00A179D2"/>
    <w:rsid w:val="00B15D46"/>
    <w:rsid w:val="00C003D5"/>
    <w:rsid w:val="00C72205"/>
    <w:rsid w:val="00CF3667"/>
    <w:rsid w:val="00D64CF0"/>
    <w:rsid w:val="00DB52A8"/>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6368</Words>
  <Characters>36303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3</cp:revision>
  <cp:lastPrinted>2017-01-18T09:30:00Z</cp:lastPrinted>
  <dcterms:created xsi:type="dcterms:W3CDTF">2017-01-28T12:21:00Z</dcterms:created>
  <dcterms:modified xsi:type="dcterms:W3CDTF">2017-01-28T15:16:00Z</dcterms:modified>
</cp:coreProperties>
</file>